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AFF3" w14:textId="16101285" w:rsidR="00D94AB0" w:rsidRDefault="00D94AB0" w:rsidP="00D94AB0">
      <w:pPr>
        <w:spacing w:after="0"/>
        <w:rPr>
          <w:rFonts w:ascii="Theinhardt Regular" w:hAnsi="Theinhardt Regular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223DC" wp14:editId="64689569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2844165" cy="720090"/>
            <wp:effectExtent l="0" t="0" r="0" b="3810"/>
            <wp:wrapNone/>
            <wp:docPr id="8999350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CF07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sz w:val="28"/>
          <w:szCs w:val="28"/>
        </w:rPr>
      </w:pPr>
    </w:p>
    <w:p w14:paraId="0FBAF98A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sz w:val="28"/>
          <w:szCs w:val="28"/>
        </w:rPr>
      </w:pPr>
    </w:p>
    <w:p w14:paraId="1303ED3E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sz w:val="28"/>
          <w:szCs w:val="28"/>
        </w:rPr>
      </w:pPr>
    </w:p>
    <w:p w14:paraId="18B1204B" w14:textId="77777777" w:rsidR="00D94AB0" w:rsidRDefault="00D94AB0" w:rsidP="00D94AB0">
      <w:pPr>
        <w:spacing w:after="0"/>
        <w:rPr>
          <w:rFonts w:ascii="Theinhardt Bold" w:hAnsi="Theinhardt Bold"/>
          <w:sz w:val="28"/>
          <w:szCs w:val="28"/>
        </w:rPr>
      </w:pPr>
      <w:r>
        <w:rPr>
          <w:rFonts w:ascii="Theinhardt Bold" w:hAnsi="Theinhardt Bold"/>
          <w:sz w:val="28"/>
          <w:szCs w:val="28"/>
        </w:rPr>
        <w:t>Inscription pour les abonnements de groupe</w:t>
      </w:r>
    </w:p>
    <w:p w14:paraId="5E309CA2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sz w:val="16"/>
          <w:szCs w:val="16"/>
        </w:rPr>
      </w:pPr>
    </w:p>
    <w:p w14:paraId="09F5E652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Nom de </w:t>
      </w:r>
      <w:proofErr w:type="gramStart"/>
      <w:r>
        <w:rPr>
          <w:rFonts w:ascii="Theinhardt Regular" w:hAnsi="Theinhardt Regular"/>
        </w:rPr>
        <w:t>groupe: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399187BE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Adresse, Ville de code </w:t>
      </w:r>
      <w:proofErr w:type="gramStart"/>
      <w:r>
        <w:rPr>
          <w:rFonts w:ascii="Theinhardt Regular" w:hAnsi="Theinhardt Regular"/>
        </w:rPr>
        <w:t>postal: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1F116775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proofErr w:type="gramStart"/>
      <w:r>
        <w:rPr>
          <w:rFonts w:ascii="Theinhardt Regular" w:hAnsi="Theinhardt Regular"/>
        </w:rPr>
        <w:t>Téléphone: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79BAA866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proofErr w:type="gramStart"/>
      <w:r>
        <w:rPr>
          <w:rFonts w:ascii="Theinhardt Regular" w:hAnsi="Theinhardt Regular"/>
        </w:rPr>
        <w:t>E-Mail: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08DB5A67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proofErr w:type="gramStart"/>
      <w:r>
        <w:rPr>
          <w:rFonts w:ascii="Theinhardt Regular" w:hAnsi="Theinhardt Regular"/>
        </w:rPr>
        <w:t>Contact: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6227D2F2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Téléphone </w:t>
      </w:r>
      <w:proofErr w:type="gramStart"/>
      <w:r>
        <w:rPr>
          <w:rFonts w:ascii="Theinhardt Regular" w:hAnsi="Theinhardt Regular"/>
        </w:rPr>
        <w:t>mobile: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2CD46A3A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Adresse de vacances : </w:t>
      </w:r>
      <w:r>
        <w:rPr>
          <w:rFonts w:ascii="Theinhardt Regular" w:hAnsi="Theinhardt Regular"/>
        </w:rPr>
        <w:tab/>
      </w:r>
    </w:p>
    <w:p w14:paraId="6BFC0484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sz w:val="16"/>
          <w:szCs w:val="16"/>
        </w:rPr>
      </w:pPr>
    </w:p>
    <w:p w14:paraId="3E4626CD" w14:textId="77777777" w:rsidR="00D94AB0" w:rsidRDefault="00D94AB0" w:rsidP="00D94AB0">
      <w:pPr>
        <w:tabs>
          <w:tab w:val="left" w:pos="3969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Forfait de ski valides de / </w:t>
      </w:r>
      <w:proofErr w:type="gramStart"/>
      <w:r>
        <w:rPr>
          <w:rFonts w:ascii="Theinhardt Regular" w:hAnsi="Theinhardt Regular"/>
        </w:rPr>
        <w:t>à: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244B6136" w14:textId="77777777" w:rsidR="00D94AB0" w:rsidRDefault="00D94AB0" w:rsidP="00D94AB0">
      <w:pPr>
        <w:tabs>
          <w:tab w:val="left" w:pos="3119"/>
          <w:tab w:val="left" w:pos="3969"/>
        </w:tabs>
        <w:spacing w:after="0"/>
        <w:rPr>
          <w:rFonts w:ascii="Theinhardt Regular" w:hAnsi="Theinhardt Regular"/>
          <w:u w:val="single"/>
        </w:rPr>
      </w:pPr>
      <w:r>
        <w:rPr>
          <w:rFonts w:ascii="Theinhardt Regular" w:hAnsi="Theinhardt Regular"/>
        </w:rPr>
        <w:t xml:space="preserve">Location d’armoires de groupe de / </w:t>
      </w:r>
      <w:proofErr w:type="gramStart"/>
      <w:r>
        <w:rPr>
          <w:rFonts w:ascii="Theinhardt Regular" w:hAnsi="Theinhardt Regular"/>
        </w:rPr>
        <w:t>à: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7ADD2D2E" w14:textId="77777777" w:rsidR="00D94AB0" w:rsidRDefault="00D94AB0" w:rsidP="00D94AB0">
      <w:pPr>
        <w:spacing w:after="0"/>
        <w:rPr>
          <w:rFonts w:ascii="Theinhardt Regular" w:hAnsi="Theinhardt Regular"/>
          <w:sz w:val="16"/>
          <w:szCs w:val="16"/>
        </w:rPr>
      </w:pPr>
    </w:p>
    <w:p w14:paraId="121B3261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lang w:val="de-DE"/>
        </w:rPr>
      </w:pPr>
      <w:r>
        <w:rPr>
          <w:rFonts w:ascii="Theinhardt Regular" w:hAnsi="Theinhardt Regular"/>
          <w:b/>
          <w:bCs/>
          <w:lang w:val="de-DE"/>
        </w:rPr>
        <w:t xml:space="preserve">Forfait de </w:t>
      </w:r>
      <w:proofErr w:type="spellStart"/>
      <w:r>
        <w:rPr>
          <w:rFonts w:ascii="Theinhardt Regular" w:hAnsi="Theinhardt Regular"/>
          <w:b/>
          <w:bCs/>
          <w:lang w:val="de-DE"/>
        </w:rPr>
        <w:t>ski</w:t>
      </w:r>
      <w:proofErr w:type="spellEnd"/>
      <w:r>
        <w:rPr>
          <w:rFonts w:ascii="Theinhardt Regular" w:hAnsi="Theinhardt Regular"/>
          <w:b/>
          <w:bCs/>
          <w:lang w:val="de-DE"/>
        </w:rPr>
        <w:t xml:space="preserve"> Saas-Grund – Hohsaas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997"/>
        <w:gridCol w:w="1584"/>
        <w:gridCol w:w="1684"/>
        <w:gridCol w:w="1471"/>
        <w:gridCol w:w="1326"/>
      </w:tblGrid>
      <w:tr w:rsidR="00D94AB0" w14:paraId="1A34B691" w14:textId="0A2D6E6F" w:rsidTr="00D94AB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5FAC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Nombre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de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jours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85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Adulte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6BD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Adolescent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C21E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Enfant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848" w14:textId="7554E43E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Assurance</w:t>
            </w:r>
          </w:p>
        </w:tc>
      </w:tr>
      <w:tr w:rsidR="00D94AB0" w14:paraId="3C8FFF0C" w14:textId="68CBAF38" w:rsidTr="00D94AB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EF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61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52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32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8F8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1661BF20" w14:textId="58152513" w:rsidTr="00D94AB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2E7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61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E41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04E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1B8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7C819C7D" w14:textId="23E66530" w:rsidTr="00D94AB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97C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FFD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3DE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ECB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801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135D50D7" w14:textId="77777777" w:rsidR="00D94AB0" w:rsidRDefault="00D94AB0" w:rsidP="00D94AB0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7DF2F6A2" w14:textId="77777777" w:rsidR="00D94AB0" w:rsidRDefault="00D94AB0" w:rsidP="00D94AB0">
      <w:pPr>
        <w:spacing w:after="0"/>
        <w:rPr>
          <w:rFonts w:ascii="Theinhardt Regular" w:hAnsi="Theinhardt Regular"/>
          <w:b/>
          <w:bCs/>
        </w:rPr>
      </w:pPr>
      <w:r>
        <w:rPr>
          <w:rFonts w:ascii="Theinhardt Regular" w:hAnsi="Theinhardt Regular"/>
          <w:b/>
          <w:bCs/>
        </w:rPr>
        <w:t>Forfait de ski destination (avec Saas-Fee)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418"/>
        <w:gridCol w:w="1412"/>
      </w:tblGrid>
      <w:tr w:rsidR="00D94AB0" w14:paraId="003F7404" w14:textId="58E32B16" w:rsidTr="00D94A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9D5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Nombre</w:t>
            </w:r>
            <w:proofErr w:type="spellEnd"/>
            <w:r>
              <w:rPr>
                <w:rFonts w:ascii="Theinhardt Regular" w:hAnsi="Theinhardt Regular"/>
                <w:lang w:val="de-DE"/>
              </w:rPr>
              <w:t xml:space="preserve"> de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jours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914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Adulte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E034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Adolescent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FFDC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Enfant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9BD" w14:textId="24F2E958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Assurance</w:t>
            </w:r>
          </w:p>
        </w:tc>
      </w:tr>
      <w:tr w:rsidR="00D94AB0" w14:paraId="723ACF37" w14:textId="6EC5ECF7" w:rsidTr="00D94A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FCF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E12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7C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486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09C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287D4F81" w14:textId="1589E456" w:rsidTr="00D94A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87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48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DBB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07E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B8A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3E54B169" w14:textId="126F8519" w:rsidTr="00D94A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9C2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5C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ECA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EB2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C23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5226CE9A" w14:textId="77777777" w:rsidR="00D94AB0" w:rsidRDefault="00D94AB0" w:rsidP="00D94AB0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35D0D265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lang w:val="de-DE"/>
        </w:rPr>
      </w:pPr>
      <w:proofErr w:type="spellStart"/>
      <w:r>
        <w:rPr>
          <w:rFonts w:ascii="Theinhardt Regular" w:hAnsi="Theinhardt Regular"/>
          <w:b/>
          <w:bCs/>
          <w:lang w:val="de-DE"/>
        </w:rPr>
        <w:t>Activités</w:t>
      </w:r>
      <w:proofErr w:type="spellEnd"/>
    </w:p>
    <w:tbl>
      <w:tblPr>
        <w:tblStyle w:val="Tabellenraster"/>
        <w:tblW w:w="4707" w:type="pct"/>
        <w:tblInd w:w="0" w:type="dxa"/>
        <w:tblLook w:val="04A0" w:firstRow="1" w:lastRow="0" w:firstColumn="1" w:lastColumn="0" w:noHBand="0" w:noVBand="1"/>
      </w:tblPr>
      <w:tblGrid>
        <w:gridCol w:w="3042"/>
        <w:gridCol w:w="1519"/>
        <w:gridCol w:w="1286"/>
        <w:gridCol w:w="1286"/>
        <w:gridCol w:w="1403"/>
      </w:tblGrid>
      <w:tr w:rsidR="00D94AB0" w14:paraId="3084D4FF" w14:textId="77777777" w:rsidTr="00D94AB0"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4E7A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35F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Date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E11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Adulte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1C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proofErr w:type="spellStart"/>
            <w:r>
              <w:rPr>
                <w:rFonts w:ascii="Theinhardt Regular" w:hAnsi="Theinhardt Regular"/>
                <w:lang w:val="de-DE"/>
              </w:rPr>
              <w:t>Adolescent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8D8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Enfant</w:t>
            </w:r>
          </w:p>
        </w:tc>
      </w:tr>
      <w:tr w:rsidR="00D94AB0" w14:paraId="4973690B" w14:textId="77777777" w:rsidTr="00D94AB0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FBE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>Luge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869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6AD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F37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F0E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0B194048" w14:textId="77777777" w:rsidTr="00D94AB0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A43C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 xml:space="preserve">Luge de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nuit</w:t>
            </w:r>
            <w:proofErr w:type="spellEnd"/>
            <w:r>
              <w:rPr>
                <w:rFonts w:ascii="Theinhardt Regular" w:hAnsi="Theinhardt Regular"/>
                <w:lang w:val="de-DE"/>
              </w:rPr>
              <w:t>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873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7ED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1E7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43D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54AF731F" w14:textId="77777777" w:rsidTr="00D94AB0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5A6" w14:textId="77777777" w:rsidR="00D94AB0" w:rsidRDefault="00D94AB0">
            <w:pPr>
              <w:spacing w:line="240" w:lineRule="auto"/>
              <w:rPr>
                <w:rFonts w:ascii="Theinhardt Regular" w:hAnsi="Theinhardt Regular"/>
              </w:rPr>
            </w:pPr>
            <w:r>
              <w:rPr>
                <w:rFonts w:ascii="Theinhardt Regular" w:hAnsi="Theinhardt Regular"/>
                <w:b/>
                <w:bCs/>
              </w:rPr>
              <w:t xml:space="preserve">NOUVEAU : </w:t>
            </w:r>
            <w:r>
              <w:rPr>
                <w:rFonts w:ascii="Theinhardt Regular" w:hAnsi="Theinhardt Regular"/>
                <w:sz w:val="20"/>
                <w:szCs w:val="20"/>
              </w:rPr>
              <w:t>Randonnée aux flambeaux*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3B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D5F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57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26F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06CDA1EE" w14:textId="77777777" w:rsidTr="00D94AB0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3D68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  <w:r>
              <w:rPr>
                <w:rFonts w:ascii="Theinhardt Regular" w:hAnsi="Theinhardt Regular"/>
                <w:lang w:val="de-DE"/>
              </w:rPr>
              <w:t xml:space="preserve">Parcours de </w:t>
            </w:r>
            <w:proofErr w:type="spellStart"/>
            <w:r>
              <w:rPr>
                <w:rFonts w:ascii="Theinhardt Regular" w:hAnsi="Theinhardt Regular"/>
                <w:lang w:val="de-DE"/>
              </w:rPr>
              <w:t>course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41E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DF8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297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920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  <w:tr w:rsidR="00D94AB0" w14:paraId="61ABD432" w14:textId="77777777" w:rsidTr="00D94AB0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EDF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875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A3A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84D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A9" w14:textId="77777777" w:rsidR="00D94AB0" w:rsidRDefault="00D94AB0">
            <w:pPr>
              <w:spacing w:line="240" w:lineRule="auto"/>
              <w:rPr>
                <w:rFonts w:ascii="Theinhardt Regular" w:hAnsi="Theinhardt Regular"/>
                <w:lang w:val="de-DE"/>
              </w:rPr>
            </w:pPr>
          </w:p>
        </w:tc>
      </w:tr>
    </w:tbl>
    <w:p w14:paraId="17F862F9" w14:textId="77777777" w:rsidR="00D94AB0" w:rsidRDefault="00D94AB0" w:rsidP="00D94AB0">
      <w:pPr>
        <w:spacing w:after="0"/>
        <w:rPr>
          <w:rFonts w:ascii="Theinhardt Regular" w:hAnsi="Theinhardt Regular"/>
          <w:sz w:val="20"/>
          <w:szCs w:val="20"/>
        </w:rPr>
      </w:pPr>
      <w:r>
        <w:rPr>
          <w:rFonts w:ascii="Theinhardt Regular" w:hAnsi="Theinhardt Regular"/>
          <w:b/>
          <w:bCs/>
          <w:sz w:val="18"/>
          <w:szCs w:val="18"/>
        </w:rPr>
        <w:t xml:space="preserve">*Toutes les données des événements nocturnes peuvent être trouvées à : </w:t>
      </w:r>
      <w:r>
        <w:rPr>
          <w:rFonts w:ascii="Theinhardt Regular" w:hAnsi="Theinhardt Regular"/>
          <w:b/>
          <w:bCs/>
          <w:sz w:val="18"/>
          <w:szCs w:val="18"/>
        </w:rPr>
        <w:br/>
      </w:r>
      <w:hyperlink r:id="rId5" w:history="1">
        <w:r>
          <w:rPr>
            <w:rStyle w:val="Hyperlink"/>
          </w:rPr>
          <w:t>https://www.saas-fee.ch/de/winteraktivitaeten/wintererlebnisse-am-berg/kreuzboden-by-night</w:t>
        </w:r>
      </w:hyperlink>
    </w:p>
    <w:p w14:paraId="2EF9B802" w14:textId="77777777" w:rsidR="00D94AB0" w:rsidRDefault="00D94AB0" w:rsidP="00D94AB0">
      <w:pPr>
        <w:spacing w:after="0"/>
        <w:rPr>
          <w:rFonts w:ascii="Theinhardt Regular" w:hAnsi="Theinhardt Regular"/>
          <w:sz w:val="16"/>
          <w:szCs w:val="16"/>
        </w:rPr>
      </w:pPr>
    </w:p>
    <w:p w14:paraId="3D14FE7E" w14:textId="77777777" w:rsidR="00D94AB0" w:rsidRDefault="00D94AB0" w:rsidP="00D94AB0">
      <w:pPr>
        <w:spacing w:after="0"/>
        <w:rPr>
          <w:rFonts w:ascii="Theinhardt Regular" w:hAnsi="Theinhardt Regular"/>
          <w:u w:val="single"/>
        </w:rPr>
      </w:pPr>
      <w:proofErr w:type="gramStart"/>
      <w:r>
        <w:rPr>
          <w:rFonts w:ascii="Theinhardt Regular" w:hAnsi="Theinhardt Regular"/>
        </w:rPr>
        <w:t>Paiement:</w:t>
      </w:r>
      <w:proofErr w:type="gramEnd"/>
      <w:r>
        <w:rPr>
          <w:rFonts w:ascii="Theinhardt Regular" w:hAnsi="Theinhardt Regular"/>
        </w:rPr>
        <w:t xml:space="preserve"> </w:t>
      </w:r>
      <w:r>
        <w:rPr>
          <w:rFonts w:ascii="Theinhardt Regular" w:hAnsi="Theinhardt Regular"/>
        </w:rPr>
        <w:tab/>
      </w:r>
    </w:p>
    <w:p w14:paraId="6973F27A" w14:textId="77777777" w:rsidR="00D94AB0" w:rsidRDefault="00D94AB0" w:rsidP="00D94AB0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>Argent, Carte de crédit (veuillez vérifier la limite quotidienne) ou le paiement anticipé</w:t>
      </w:r>
    </w:p>
    <w:p w14:paraId="202A0FD5" w14:textId="77777777" w:rsidR="00D94AB0" w:rsidRDefault="00D94AB0" w:rsidP="00D94AB0">
      <w:pPr>
        <w:tabs>
          <w:tab w:val="left" w:pos="1985"/>
        </w:tabs>
        <w:spacing w:after="0"/>
        <w:rPr>
          <w:rFonts w:ascii="Theinhardt Regular" w:hAnsi="Theinhardt Regular"/>
          <w:sz w:val="16"/>
          <w:szCs w:val="16"/>
        </w:rPr>
      </w:pPr>
    </w:p>
    <w:p w14:paraId="08AE2C3C" w14:textId="77777777" w:rsidR="00D94AB0" w:rsidRDefault="00D94AB0" w:rsidP="00D94AB0">
      <w:pPr>
        <w:tabs>
          <w:tab w:val="left" w:pos="1985"/>
        </w:tabs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 xml:space="preserve">Pour tout remboursement, veuillez nous faire part de vos coordonnées </w:t>
      </w:r>
      <w:proofErr w:type="gramStart"/>
      <w:r>
        <w:rPr>
          <w:rFonts w:ascii="Theinhardt Regular" w:hAnsi="Theinhardt Regular"/>
        </w:rPr>
        <w:t>bancaires:</w:t>
      </w:r>
      <w:proofErr w:type="gramEnd"/>
    </w:p>
    <w:p w14:paraId="1CE3A2B6" w14:textId="77777777" w:rsidR="00D94AB0" w:rsidRDefault="00D94AB0" w:rsidP="00D94AB0">
      <w:pPr>
        <w:tabs>
          <w:tab w:val="left" w:pos="1985"/>
        </w:tabs>
        <w:spacing w:after="0"/>
        <w:rPr>
          <w:rFonts w:ascii="Theinhardt Regular" w:hAnsi="Theinhardt Regular"/>
          <w:u w:val="single"/>
        </w:rPr>
      </w:pPr>
    </w:p>
    <w:p w14:paraId="63E5DA56" w14:textId="77777777" w:rsidR="00D94AB0" w:rsidRDefault="00D94AB0" w:rsidP="00D94AB0">
      <w:pPr>
        <w:spacing w:after="0"/>
        <w:rPr>
          <w:rFonts w:ascii="Theinhardt Regular" w:hAnsi="Theinhardt Regular"/>
          <w:b/>
          <w:bCs/>
          <w:sz w:val="16"/>
          <w:szCs w:val="16"/>
        </w:rPr>
      </w:pPr>
    </w:p>
    <w:p w14:paraId="03F5F441" w14:textId="77777777" w:rsidR="00D94AB0" w:rsidRDefault="00D94AB0" w:rsidP="00D94AB0">
      <w:pPr>
        <w:spacing w:after="0"/>
        <w:rPr>
          <w:rFonts w:ascii="Theinhardt Regular" w:hAnsi="Theinhardt Regular"/>
          <w:b/>
          <w:bCs/>
        </w:rPr>
      </w:pPr>
      <w:r>
        <w:rPr>
          <w:rFonts w:ascii="Theinhardt Regular" w:hAnsi="Theinhardt Regular"/>
          <w:b/>
          <w:bCs/>
        </w:rPr>
        <w:t>La liste des participants ayant le nom et la date de naissance doit être jointe à l’inscription.</w:t>
      </w:r>
    </w:p>
    <w:p w14:paraId="0DA82161" w14:textId="77777777" w:rsidR="00D94AB0" w:rsidRDefault="00D94AB0" w:rsidP="00D94AB0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  <w:b/>
          <w:bCs/>
        </w:rPr>
        <w:t>Pour un processus en douceur, le paiement doit être reçu 3-5 jours ouvrables avant l’arrivée.</w:t>
      </w:r>
    </w:p>
    <w:p w14:paraId="06154FD2" w14:textId="77777777" w:rsidR="00D94AB0" w:rsidRDefault="00D94AB0" w:rsidP="00D94AB0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>Horaires d’ouverture de la caisse : 8 h 30 - 17 h</w:t>
      </w:r>
    </w:p>
    <w:p w14:paraId="7AA3ECFF" w14:textId="77777777" w:rsidR="00D94AB0" w:rsidRDefault="00D94AB0" w:rsidP="00D94AB0">
      <w:pPr>
        <w:spacing w:after="0"/>
        <w:rPr>
          <w:rFonts w:ascii="Theinhardt Regular" w:hAnsi="Theinhardt Regular"/>
        </w:rPr>
      </w:pPr>
      <w:r>
        <w:rPr>
          <w:rFonts w:ascii="Theinhardt Regular" w:hAnsi="Theinhardt Regular"/>
        </w:rPr>
        <w:t>Merci beaucoup pour votre inscription</w:t>
      </w:r>
    </w:p>
    <w:p w14:paraId="41D828A2" w14:textId="77777777" w:rsidR="00741A1F" w:rsidRDefault="00741A1F"/>
    <w:sectPr w:rsidR="00741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Regular">
    <w:altName w:val="Calibri"/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Theinhardt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B0"/>
    <w:rsid w:val="00741A1F"/>
    <w:rsid w:val="00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CA37E58"/>
  <w15:chartTrackingRefBased/>
  <w15:docId w15:val="{6BA3838A-7067-4068-B826-5A8E56BA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B0"/>
    <w:pPr>
      <w:spacing w:line="256" w:lineRule="auto"/>
    </w:pPr>
    <w:rPr>
      <w:kern w:val="0"/>
      <w:lang w:val="fr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4AB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94A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as-fee.ch/de/winteraktivitaeten/wintererlebnisse-am-berg/kreuzboden-by-nig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Winterberger</dc:creator>
  <cp:keywords/>
  <dc:description/>
  <cp:lastModifiedBy>Maya Winterberger</cp:lastModifiedBy>
  <cp:revision>1</cp:revision>
  <dcterms:created xsi:type="dcterms:W3CDTF">2024-04-09T11:48:00Z</dcterms:created>
  <dcterms:modified xsi:type="dcterms:W3CDTF">2024-04-09T11:50:00Z</dcterms:modified>
</cp:coreProperties>
</file>